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B20" w:rsidRPr="00EF1C0D" w:rsidRDefault="004322AC" w:rsidP="004322AC">
      <w:pPr>
        <w:jc w:val="center"/>
        <w:rPr>
          <w:rFonts w:asciiTheme="minorEastAsia" w:eastAsiaTheme="minorEastAsia" w:hAnsiTheme="minorEastAsia"/>
          <w:sz w:val="24"/>
        </w:rPr>
      </w:pPr>
      <w:r w:rsidRPr="00EF1C0D">
        <w:rPr>
          <w:rFonts w:asciiTheme="minorEastAsia" w:eastAsiaTheme="minorEastAsia" w:hAnsiTheme="minorEastAsia" w:hint="eastAsia"/>
          <w:sz w:val="24"/>
        </w:rPr>
        <w:t>事業実施報告書</w:t>
      </w:r>
    </w:p>
    <w:p w:rsidR="004322AC" w:rsidRPr="00EF1C0D" w:rsidRDefault="004322AC" w:rsidP="004322AC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425"/>
        <w:gridCol w:w="1110"/>
        <w:gridCol w:w="1800"/>
        <w:gridCol w:w="3285"/>
      </w:tblGrid>
      <w:tr w:rsidR="004322AC" w:rsidRPr="00EF1C0D" w:rsidTr="008A0DB2">
        <w:trPr>
          <w:trHeight w:val="420"/>
        </w:trPr>
        <w:tc>
          <w:tcPr>
            <w:tcW w:w="840" w:type="dxa"/>
            <w:vMerge w:val="restart"/>
            <w:vAlign w:val="center"/>
          </w:tcPr>
          <w:p w:rsidR="004322AC" w:rsidRPr="00EF1C0D" w:rsidRDefault="004322AC" w:rsidP="000B1C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F1C0D">
              <w:rPr>
                <w:rFonts w:asciiTheme="minorEastAsia" w:eastAsiaTheme="minorEastAsia" w:hAnsiTheme="minorEastAsia" w:hint="eastAsia"/>
                <w:sz w:val="24"/>
              </w:rPr>
              <w:t>No</w:t>
            </w:r>
          </w:p>
        </w:tc>
        <w:tc>
          <w:tcPr>
            <w:tcW w:w="1425" w:type="dxa"/>
            <w:vMerge w:val="restart"/>
            <w:vAlign w:val="center"/>
          </w:tcPr>
          <w:p w:rsidR="004322AC" w:rsidRPr="00EF1C0D" w:rsidRDefault="004322AC" w:rsidP="000B1C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F1C0D">
              <w:rPr>
                <w:rFonts w:asciiTheme="minorEastAsia" w:eastAsiaTheme="minorEastAsia" w:hAnsiTheme="minorEastAsia" w:hint="eastAsia"/>
                <w:sz w:val="24"/>
              </w:rPr>
              <w:t>年月日</w:t>
            </w:r>
          </w:p>
        </w:tc>
        <w:tc>
          <w:tcPr>
            <w:tcW w:w="2910" w:type="dxa"/>
            <w:gridSpan w:val="2"/>
            <w:vAlign w:val="center"/>
          </w:tcPr>
          <w:p w:rsidR="004322AC" w:rsidRPr="00EF1C0D" w:rsidRDefault="004322AC" w:rsidP="000B1C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F1C0D">
              <w:rPr>
                <w:rFonts w:asciiTheme="minorEastAsia" w:eastAsiaTheme="minorEastAsia" w:hAnsiTheme="minorEastAsia" w:hint="eastAsia"/>
                <w:sz w:val="24"/>
              </w:rPr>
              <w:t>配送料</w:t>
            </w:r>
            <w:r w:rsidR="000B1C30" w:rsidRPr="00EF1C0D">
              <w:rPr>
                <w:rFonts w:asciiTheme="minorEastAsia" w:eastAsiaTheme="minorEastAsia" w:hAnsiTheme="minorEastAsia" w:hint="eastAsia"/>
                <w:sz w:val="24"/>
              </w:rPr>
              <w:t>に係る費用</w:t>
            </w:r>
          </w:p>
        </w:tc>
        <w:tc>
          <w:tcPr>
            <w:tcW w:w="3285" w:type="dxa"/>
            <w:vMerge w:val="restart"/>
            <w:vAlign w:val="center"/>
          </w:tcPr>
          <w:p w:rsidR="004322AC" w:rsidRPr="00EF1C0D" w:rsidRDefault="008A0DB2" w:rsidP="008A0DB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F1C0D">
              <w:rPr>
                <w:rFonts w:asciiTheme="minorEastAsia" w:eastAsiaTheme="minorEastAsia" w:hAnsiTheme="minorEastAsia" w:hint="eastAsia"/>
                <w:sz w:val="24"/>
              </w:rPr>
              <w:t>備考</w:t>
            </w:r>
          </w:p>
        </w:tc>
      </w:tr>
      <w:tr w:rsidR="000B1C30" w:rsidRPr="00EF1C0D" w:rsidTr="000B1C30">
        <w:trPr>
          <w:trHeight w:val="420"/>
        </w:trPr>
        <w:tc>
          <w:tcPr>
            <w:tcW w:w="840" w:type="dxa"/>
            <w:vMerge/>
            <w:vAlign w:val="center"/>
          </w:tcPr>
          <w:p w:rsidR="000B1C30" w:rsidRPr="00EF1C0D" w:rsidRDefault="000B1C30" w:rsidP="000B1C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5" w:type="dxa"/>
            <w:vMerge/>
            <w:vAlign w:val="center"/>
          </w:tcPr>
          <w:p w:rsidR="000B1C30" w:rsidRPr="00EF1C0D" w:rsidRDefault="000B1C30" w:rsidP="000B1C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0B1C30" w:rsidRPr="00EF1C0D" w:rsidRDefault="000B1C30" w:rsidP="000B1C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F1C0D">
              <w:rPr>
                <w:rFonts w:asciiTheme="minorEastAsia" w:eastAsiaTheme="minorEastAsia" w:hAnsiTheme="minorEastAsia" w:hint="eastAsia"/>
                <w:sz w:val="24"/>
              </w:rPr>
              <w:t>件数</w:t>
            </w:r>
          </w:p>
        </w:tc>
        <w:tc>
          <w:tcPr>
            <w:tcW w:w="1800" w:type="dxa"/>
            <w:vAlign w:val="center"/>
          </w:tcPr>
          <w:p w:rsidR="000B1C30" w:rsidRPr="00EF1C0D" w:rsidRDefault="000B1C30" w:rsidP="000B1C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F1C0D">
              <w:rPr>
                <w:rFonts w:asciiTheme="minorEastAsia" w:eastAsiaTheme="minorEastAsia" w:hAnsiTheme="minorEastAsia" w:hint="eastAsia"/>
                <w:sz w:val="24"/>
              </w:rPr>
              <w:t>金額（円）</w:t>
            </w:r>
          </w:p>
        </w:tc>
        <w:tc>
          <w:tcPr>
            <w:tcW w:w="3285" w:type="dxa"/>
            <w:vMerge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B1C30" w:rsidRPr="00EF1C0D" w:rsidTr="000B1C30">
        <w:trPr>
          <w:trHeight w:val="459"/>
        </w:trPr>
        <w:tc>
          <w:tcPr>
            <w:tcW w:w="840" w:type="dxa"/>
            <w:vAlign w:val="center"/>
          </w:tcPr>
          <w:p w:rsidR="000B1C30" w:rsidRPr="00EF1C0D" w:rsidRDefault="000B1C30" w:rsidP="000B1C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5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0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0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85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B1C30" w:rsidRPr="00EF1C0D" w:rsidTr="000B1C30">
        <w:trPr>
          <w:trHeight w:val="459"/>
        </w:trPr>
        <w:tc>
          <w:tcPr>
            <w:tcW w:w="840" w:type="dxa"/>
            <w:vAlign w:val="center"/>
          </w:tcPr>
          <w:p w:rsidR="000B1C30" w:rsidRPr="00EF1C0D" w:rsidRDefault="000B1C30" w:rsidP="000B1C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</w:p>
        </w:tc>
        <w:tc>
          <w:tcPr>
            <w:tcW w:w="1425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0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0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85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bookmarkEnd w:id="0"/>
      <w:tr w:rsidR="000B1C30" w:rsidRPr="00EF1C0D" w:rsidTr="000B1C30">
        <w:trPr>
          <w:trHeight w:val="459"/>
        </w:trPr>
        <w:tc>
          <w:tcPr>
            <w:tcW w:w="840" w:type="dxa"/>
            <w:vAlign w:val="center"/>
          </w:tcPr>
          <w:p w:rsidR="000B1C30" w:rsidRPr="00EF1C0D" w:rsidRDefault="000B1C30" w:rsidP="000B1C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5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0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0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85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B1C30" w:rsidRPr="00EF1C0D" w:rsidTr="000B1C30">
        <w:trPr>
          <w:trHeight w:val="459"/>
        </w:trPr>
        <w:tc>
          <w:tcPr>
            <w:tcW w:w="840" w:type="dxa"/>
            <w:vAlign w:val="center"/>
          </w:tcPr>
          <w:p w:rsidR="000B1C30" w:rsidRPr="00EF1C0D" w:rsidRDefault="000B1C30" w:rsidP="000B1C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5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0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0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85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B1C30" w:rsidRPr="00EF1C0D" w:rsidTr="000B1C30">
        <w:trPr>
          <w:trHeight w:val="459"/>
        </w:trPr>
        <w:tc>
          <w:tcPr>
            <w:tcW w:w="840" w:type="dxa"/>
            <w:vAlign w:val="center"/>
          </w:tcPr>
          <w:p w:rsidR="000B1C30" w:rsidRPr="00EF1C0D" w:rsidRDefault="000B1C30" w:rsidP="000B1C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5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0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0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85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B1C30" w:rsidRPr="00EF1C0D" w:rsidTr="000B1C30">
        <w:trPr>
          <w:trHeight w:val="459"/>
        </w:trPr>
        <w:tc>
          <w:tcPr>
            <w:tcW w:w="840" w:type="dxa"/>
            <w:vAlign w:val="center"/>
          </w:tcPr>
          <w:p w:rsidR="000B1C30" w:rsidRPr="00EF1C0D" w:rsidRDefault="000B1C30" w:rsidP="000B1C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5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0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0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85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B1C30" w:rsidRPr="00EF1C0D" w:rsidTr="000B1C30">
        <w:trPr>
          <w:trHeight w:val="459"/>
        </w:trPr>
        <w:tc>
          <w:tcPr>
            <w:tcW w:w="840" w:type="dxa"/>
            <w:vAlign w:val="center"/>
          </w:tcPr>
          <w:p w:rsidR="000B1C30" w:rsidRPr="00EF1C0D" w:rsidRDefault="000B1C30" w:rsidP="000B1C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5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0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0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85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B1C30" w:rsidRPr="00EF1C0D" w:rsidTr="000B1C30">
        <w:trPr>
          <w:trHeight w:val="459"/>
        </w:trPr>
        <w:tc>
          <w:tcPr>
            <w:tcW w:w="840" w:type="dxa"/>
            <w:vAlign w:val="center"/>
          </w:tcPr>
          <w:p w:rsidR="000B1C30" w:rsidRPr="00EF1C0D" w:rsidRDefault="000B1C30" w:rsidP="000B1C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5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0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0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85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B1C30" w:rsidRPr="00EF1C0D" w:rsidTr="000B1C30">
        <w:trPr>
          <w:trHeight w:val="459"/>
        </w:trPr>
        <w:tc>
          <w:tcPr>
            <w:tcW w:w="840" w:type="dxa"/>
            <w:vAlign w:val="center"/>
          </w:tcPr>
          <w:p w:rsidR="000B1C30" w:rsidRPr="00EF1C0D" w:rsidRDefault="000B1C30" w:rsidP="000B1C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5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0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0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85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B1C30" w:rsidRPr="00EF1C0D" w:rsidTr="000B1C30">
        <w:trPr>
          <w:trHeight w:val="459"/>
        </w:trPr>
        <w:tc>
          <w:tcPr>
            <w:tcW w:w="840" w:type="dxa"/>
            <w:vAlign w:val="center"/>
          </w:tcPr>
          <w:p w:rsidR="000B1C30" w:rsidRPr="00EF1C0D" w:rsidRDefault="000B1C30" w:rsidP="000B1C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5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0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0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85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B1C30" w:rsidRPr="00EF1C0D" w:rsidTr="000B1C30">
        <w:trPr>
          <w:trHeight w:val="459"/>
        </w:trPr>
        <w:tc>
          <w:tcPr>
            <w:tcW w:w="840" w:type="dxa"/>
            <w:vAlign w:val="center"/>
          </w:tcPr>
          <w:p w:rsidR="000B1C30" w:rsidRPr="00EF1C0D" w:rsidRDefault="000B1C30" w:rsidP="000B1C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5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0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0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85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B1C30" w:rsidRPr="00EF1C0D" w:rsidTr="000B1C30">
        <w:trPr>
          <w:trHeight w:val="459"/>
        </w:trPr>
        <w:tc>
          <w:tcPr>
            <w:tcW w:w="840" w:type="dxa"/>
            <w:vAlign w:val="center"/>
          </w:tcPr>
          <w:p w:rsidR="000B1C30" w:rsidRPr="00EF1C0D" w:rsidRDefault="000B1C30" w:rsidP="000B1C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5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0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0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85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B1C30" w:rsidRPr="00EF1C0D" w:rsidTr="000B1C30">
        <w:trPr>
          <w:trHeight w:val="459"/>
        </w:trPr>
        <w:tc>
          <w:tcPr>
            <w:tcW w:w="840" w:type="dxa"/>
            <w:vAlign w:val="center"/>
          </w:tcPr>
          <w:p w:rsidR="000B1C30" w:rsidRPr="00EF1C0D" w:rsidRDefault="000B1C30" w:rsidP="000B1C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5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0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0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85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B1C30" w:rsidRPr="00EF1C0D" w:rsidTr="000B1C30">
        <w:trPr>
          <w:trHeight w:val="459"/>
        </w:trPr>
        <w:tc>
          <w:tcPr>
            <w:tcW w:w="840" w:type="dxa"/>
            <w:vAlign w:val="center"/>
          </w:tcPr>
          <w:p w:rsidR="000B1C30" w:rsidRPr="00EF1C0D" w:rsidRDefault="000B1C30" w:rsidP="000B1C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5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0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0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85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B1C30" w:rsidRPr="00EF1C0D" w:rsidTr="000B1C30">
        <w:trPr>
          <w:trHeight w:val="459"/>
        </w:trPr>
        <w:tc>
          <w:tcPr>
            <w:tcW w:w="840" w:type="dxa"/>
            <w:vAlign w:val="center"/>
          </w:tcPr>
          <w:p w:rsidR="000B1C30" w:rsidRPr="00EF1C0D" w:rsidRDefault="000B1C30" w:rsidP="000B1C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5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0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0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85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B1C30" w:rsidRPr="00EF1C0D" w:rsidTr="000B1C30">
        <w:trPr>
          <w:trHeight w:val="459"/>
        </w:trPr>
        <w:tc>
          <w:tcPr>
            <w:tcW w:w="840" w:type="dxa"/>
            <w:vAlign w:val="center"/>
          </w:tcPr>
          <w:p w:rsidR="000B1C30" w:rsidRPr="00EF1C0D" w:rsidRDefault="000B1C30" w:rsidP="000B1C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5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0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0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85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B1C30" w:rsidRPr="00EF1C0D" w:rsidTr="000B1C30">
        <w:trPr>
          <w:trHeight w:val="459"/>
        </w:trPr>
        <w:tc>
          <w:tcPr>
            <w:tcW w:w="840" w:type="dxa"/>
            <w:vAlign w:val="center"/>
          </w:tcPr>
          <w:p w:rsidR="000B1C30" w:rsidRPr="00EF1C0D" w:rsidRDefault="000B1C30" w:rsidP="000B1C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5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0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0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85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B1C30" w:rsidRPr="00EF1C0D" w:rsidTr="000B1C30">
        <w:trPr>
          <w:trHeight w:val="459"/>
        </w:trPr>
        <w:tc>
          <w:tcPr>
            <w:tcW w:w="840" w:type="dxa"/>
            <w:vAlign w:val="center"/>
          </w:tcPr>
          <w:p w:rsidR="000B1C30" w:rsidRPr="00EF1C0D" w:rsidRDefault="000B1C30" w:rsidP="000B1C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5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0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0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85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B1C30" w:rsidRPr="00EF1C0D" w:rsidTr="000B1C30">
        <w:trPr>
          <w:trHeight w:val="459"/>
        </w:trPr>
        <w:tc>
          <w:tcPr>
            <w:tcW w:w="840" w:type="dxa"/>
            <w:vAlign w:val="center"/>
          </w:tcPr>
          <w:p w:rsidR="000B1C30" w:rsidRPr="00EF1C0D" w:rsidRDefault="000B1C30" w:rsidP="000B1C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5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0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0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85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B1C30" w:rsidRPr="00EF1C0D" w:rsidTr="000B1C30">
        <w:trPr>
          <w:trHeight w:val="459"/>
        </w:trPr>
        <w:tc>
          <w:tcPr>
            <w:tcW w:w="840" w:type="dxa"/>
            <w:vAlign w:val="center"/>
          </w:tcPr>
          <w:p w:rsidR="000B1C30" w:rsidRPr="00EF1C0D" w:rsidRDefault="000B1C30" w:rsidP="000B1C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5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0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0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85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B1C30" w:rsidRPr="00EF1C0D" w:rsidTr="000B1C30">
        <w:trPr>
          <w:trHeight w:val="459"/>
        </w:trPr>
        <w:tc>
          <w:tcPr>
            <w:tcW w:w="840" w:type="dxa"/>
            <w:vAlign w:val="center"/>
          </w:tcPr>
          <w:p w:rsidR="000B1C30" w:rsidRPr="00EF1C0D" w:rsidRDefault="000B1C30" w:rsidP="000B1C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5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0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0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85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B1C30" w:rsidRPr="00EF1C0D" w:rsidTr="000B1C30">
        <w:trPr>
          <w:trHeight w:val="459"/>
        </w:trPr>
        <w:tc>
          <w:tcPr>
            <w:tcW w:w="840" w:type="dxa"/>
            <w:vAlign w:val="center"/>
          </w:tcPr>
          <w:p w:rsidR="000B1C30" w:rsidRPr="00EF1C0D" w:rsidRDefault="000B1C30" w:rsidP="000B1C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5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0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0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85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B1C30" w:rsidRPr="00EF1C0D" w:rsidTr="000B1C30">
        <w:trPr>
          <w:trHeight w:val="459"/>
        </w:trPr>
        <w:tc>
          <w:tcPr>
            <w:tcW w:w="840" w:type="dxa"/>
            <w:vAlign w:val="center"/>
          </w:tcPr>
          <w:p w:rsidR="000B1C30" w:rsidRPr="00EF1C0D" w:rsidRDefault="000B1C30" w:rsidP="000B1C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5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0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0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85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B1C30" w:rsidRPr="00EF1C0D" w:rsidTr="000B1C30">
        <w:trPr>
          <w:trHeight w:val="459"/>
        </w:trPr>
        <w:tc>
          <w:tcPr>
            <w:tcW w:w="840" w:type="dxa"/>
            <w:vAlign w:val="center"/>
          </w:tcPr>
          <w:p w:rsidR="000B1C30" w:rsidRPr="00EF1C0D" w:rsidRDefault="000B1C30" w:rsidP="000B1C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5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0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0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85" w:type="dxa"/>
          </w:tcPr>
          <w:p w:rsidR="000B1C30" w:rsidRPr="00EF1C0D" w:rsidRDefault="000B1C30" w:rsidP="004322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4322AC" w:rsidRPr="00EF1C0D" w:rsidRDefault="000B1C30" w:rsidP="004322AC">
      <w:pPr>
        <w:rPr>
          <w:rFonts w:asciiTheme="minorEastAsia" w:eastAsiaTheme="minorEastAsia" w:hAnsiTheme="minorEastAsia"/>
          <w:sz w:val="24"/>
        </w:rPr>
      </w:pPr>
      <w:r w:rsidRPr="00EF1C0D">
        <w:rPr>
          <w:rFonts w:asciiTheme="minorEastAsia" w:eastAsiaTheme="minorEastAsia" w:hAnsiTheme="minorEastAsia" w:hint="eastAsia"/>
          <w:sz w:val="24"/>
        </w:rPr>
        <w:t>※記載した経費が支払い済みであることが分かる領収書等の書類</w:t>
      </w:r>
      <w:r w:rsidR="00EB40E1" w:rsidRPr="00EF1C0D">
        <w:rPr>
          <w:rFonts w:asciiTheme="minorEastAsia" w:eastAsiaTheme="minorEastAsia" w:hAnsiTheme="minorEastAsia" w:hint="eastAsia"/>
          <w:sz w:val="24"/>
        </w:rPr>
        <w:t>の写し</w:t>
      </w:r>
      <w:r w:rsidRPr="00EF1C0D">
        <w:rPr>
          <w:rFonts w:asciiTheme="minorEastAsia" w:eastAsiaTheme="minorEastAsia" w:hAnsiTheme="minorEastAsia" w:hint="eastAsia"/>
          <w:sz w:val="24"/>
        </w:rPr>
        <w:t>を添付してください。</w:t>
      </w:r>
    </w:p>
    <w:sectPr w:rsidR="004322AC" w:rsidRPr="00EF1C0D" w:rsidSect="0057525F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BD8" w:rsidRDefault="003D2BD8" w:rsidP="00110B18">
      <w:r>
        <w:separator/>
      </w:r>
    </w:p>
  </w:endnote>
  <w:endnote w:type="continuationSeparator" w:id="0">
    <w:p w:rsidR="003D2BD8" w:rsidRDefault="003D2BD8" w:rsidP="0011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BD8" w:rsidRDefault="003D2BD8" w:rsidP="00110B18">
      <w:r>
        <w:separator/>
      </w:r>
    </w:p>
  </w:footnote>
  <w:footnote w:type="continuationSeparator" w:id="0">
    <w:p w:rsidR="003D2BD8" w:rsidRDefault="003D2BD8" w:rsidP="0011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B7D46"/>
    <w:multiLevelType w:val="hybridMultilevel"/>
    <w:tmpl w:val="5F7EBFF6"/>
    <w:lvl w:ilvl="0" w:tplc="D4AC6E7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>
    <w:nsid w:val="209C40A0"/>
    <w:multiLevelType w:val="hybridMultilevel"/>
    <w:tmpl w:val="B756F922"/>
    <w:lvl w:ilvl="0" w:tplc="1C683716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64E0723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36D2956C">
      <w:start w:val="1"/>
      <w:numFmt w:val="decimalFullWidth"/>
      <w:lvlText w:val="（%3）"/>
      <w:lvlJc w:val="left"/>
      <w:pPr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2F55BBF"/>
    <w:multiLevelType w:val="hybridMultilevel"/>
    <w:tmpl w:val="E36E78C8"/>
    <w:lvl w:ilvl="0" w:tplc="A04860E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>
    <w:nsid w:val="6ADC3778"/>
    <w:multiLevelType w:val="hybridMultilevel"/>
    <w:tmpl w:val="1BE81D08"/>
    <w:lvl w:ilvl="0" w:tplc="CEA4E8EA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4">
    <w:nsid w:val="6D9C4A18"/>
    <w:multiLevelType w:val="hybridMultilevel"/>
    <w:tmpl w:val="1C765530"/>
    <w:lvl w:ilvl="0" w:tplc="BFAEE67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10"/>
    <w:rsid w:val="00004E64"/>
    <w:rsid w:val="00011457"/>
    <w:rsid w:val="000273D3"/>
    <w:rsid w:val="00032094"/>
    <w:rsid w:val="000555C7"/>
    <w:rsid w:val="00077346"/>
    <w:rsid w:val="000A2651"/>
    <w:rsid w:val="000B1C30"/>
    <w:rsid w:val="000D4F2B"/>
    <w:rsid w:val="000F667C"/>
    <w:rsid w:val="00110B18"/>
    <w:rsid w:val="0016150B"/>
    <w:rsid w:val="00172D47"/>
    <w:rsid w:val="001A37FC"/>
    <w:rsid w:val="001A725D"/>
    <w:rsid w:val="001B06CA"/>
    <w:rsid w:val="001E401F"/>
    <w:rsid w:val="0020000D"/>
    <w:rsid w:val="00234D72"/>
    <w:rsid w:val="00253EFD"/>
    <w:rsid w:val="0025627A"/>
    <w:rsid w:val="00272756"/>
    <w:rsid w:val="002742DD"/>
    <w:rsid w:val="002A6158"/>
    <w:rsid w:val="002C7598"/>
    <w:rsid w:val="002D494A"/>
    <w:rsid w:val="002D5A92"/>
    <w:rsid w:val="002E248E"/>
    <w:rsid w:val="00300698"/>
    <w:rsid w:val="00323E10"/>
    <w:rsid w:val="0033605F"/>
    <w:rsid w:val="003D2BD8"/>
    <w:rsid w:val="003E0CB0"/>
    <w:rsid w:val="003E0D95"/>
    <w:rsid w:val="00430C7A"/>
    <w:rsid w:val="004322AC"/>
    <w:rsid w:val="0044180F"/>
    <w:rsid w:val="00522CBF"/>
    <w:rsid w:val="00567934"/>
    <w:rsid w:val="00571C7E"/>
    <w:rsid w:val="0057525F"/>
    <w:rsid w:val="005D56DC"/>
    <w:rsid w:val="006176A6"/>
    <w:rsid w:val="0062468C"/>
    <w:rsid w:val="00644D6A"/>
    <w:rsid w:val="006724C8"/>
    <w:rsid w:val="006778C7"/>
    <w:rsid w:val="00691789"/>
    <w:rsid w:val="00691B9F"/>
    <w:rsid w:val="006C61EC"/>
    <w:rsid w:val="006E4620"/>
    <w:rsid w:val="00701AC3"/>
    <w:rsid w:val="00721BAC"/>
    <w:rsid w:val="00733071"/>
    <w:rsid w:val="0074753E"/>
    <w:rsid w:val="0075722A"/>
    <w:rsid w:val="007A7403"/>
    <w:rsid w:val="007D4F69"/>
    <w:rsid w:val="0080454E"/>
    <w:rsid w:val="00832B20"/>
    <w:rsid w:val="0085080D"/>
    <w:rsid w:val="00893D87"/>
    <w:rsid w:val="008A0129"/>
    <w:rsid w:val="008A0A1E"/>
    <w:rsid w:val="008A0DB2"/>
    <w:rsid w:val="008C0622"/>
    <w:rsid w:val="008C3115"/>
    <w:rsid w:val="008C58C0"/>
    <w:rsid w:val="008C5F9B"/>
    <w:rsid w:val="008E7BCC"/>
    <w:rsid w:val="009046AF"/>
    <w:rsid w:val="0091790C"/>
    <w:rsid w:val="00922ED0"/>
    <w:rsid w:val="00946959"/>
    <w:rsid w:val="00947131"/>
    <w:rsid w:val="00985D1F"/>
    <w:rsid w:val="009918CC"/>
    <w:rsid w:val="00996B76"/>
    <w:rsid w:val="009A6356"/>
    <w:rsid w:val="009A65B9"/>
    <w:rsid w:val="009B0487"/>
    <w:rsid w:val="009C4DC0"/>
    <w:rsid w:val="009D2682"/>
    <w:rsid w:val="009D378D"/>
    <w:rsid w:val="009D406A"/>
    <w:rsid w:val="009D4AB8"/>
    <w:rsid w:val="009D5252"/>
    <w:rsid w:val="009F3717"/>
    <w:rsid w:val="00A05A2B"/>
    <w:rsid w:val="00A23B62"/>
    <w:rsid w:val="00A32368"/>
    <w:rsid w:val="00A37CC6"/>
    <w:rsid w:val="00A4704F"/>
    <w:rsid w:val="00A4713F"/>
    <w:rsid w:val="00AD3439"/>
    <w:rsid w:val="00AF3D64"/>
    <w:rsid w:val="00B0404F"/>
    <w:rsid w:val="00B2467C"/>
    <w:rsid w:val="00B2732B"/>
    <w:rsid w:val="00B27430"/>
    <w:rsid w:val="00B3700B"/>
    <w:rsid w:val="00B55BE5"/>
    <w:rsid w:val="00B9384E"/>
    <w:rsid w:val="00BB2A40"/>
    <w:rsid w:val="00BB2B87"/>
    <w:rsid w:val="00BE5720"/>
    <w:rsid w:val="00BF261F"/>
    <w:rsid w:val="00BF2D68"/>
    <w:rsid w:val="00CB3399"/>
    <w:rsid w:val="00CD1CE8"/>
    <w:rsid w:val="00CD6C81"/>
    <w:rsid w:val="00CE18FF"/>
    <w:rsid w:val="00CE75F6"/>
    <w:rsid w:val="00D61DA5"/>
    <w:rsid w:val="00D85D01"/>
    <w:rsid w:val="00DB5EC7"/>
    <w:rsid w:val="00DC5BCF"/>
    <w:rsid w:val="00DE03A6"/>
    <w:rsid w:val="00DF0E0A"/>
    <w:rsid w:val="00E1020A"/>
    <w:rsid w:val="00E13141"/>
    <w:rsid w:val="00E17236"/>
    <w:rsid w:val="00E446DC"/>
    <w:rsid w:val="00E4549C"/>
    <w:rsid w:val="00E47079"/>
    <w:rsid w:val="00E50F5D"/>
    <w:rsid w:val="00E70B35"/>
    <w:rsid w:val="00E861D4"/>
    <w:rsid w:val="00EB40E1"/>
    <w:rsid w:val="00EC0B50"/>
    <w:rsid w:val="00EC34D3"/>
    <w:rsid w:val="00EC76EA"/>
    <w:rsid w:val="00ED43AE"/>
    <w:rsid w:val="00EF1C0D"/>
    <w:rsid w:val="00F031E7"/>
    <w:rsid w:val="00F149A4"/>
    <w:rsid w:val="00F534C7"/>
    <w:rsid w:val="00F70749"/>
    <w:rsid w:val="00F80230"/>
    <w:rsid w:val="00FC3E5B"/>
    <w:rsid w:val="00FD3305"/>
    <w:rsid w:val="00FE6B6B"/>
    <w:rsid w:val="00FF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C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3E10"/>
    <w:rPr>
      <w:rFonts w:cs="Times New Roman"/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rsid w:val="00B2467C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Pr>
      <w:szCs w:val="24"/>
    </w:rPr>
  </w:style>
  <w:style w:type="paragraph" w:styleId="a6">
    <w:name w:val="Closing"/>
    <w:basedOn w:val="a"/>
    <w:link w:val="a7"/>
    <w:uiPriority w:val="99"/>
    <w:rsid w:val="00B2467C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Pr>
      <w:szCs w:val="24"/>
    </w:rPr>
  </w:style>
  <w:style w:type="paragraph" w:styleId="a8">
    <w:name w:val="Balloon Text"/>
    <w:basedOn w:val="a"/>
    <w:link w:val="a9"/>
    <w:uiPriority w:val="99"/>
    <w:semiHidden/>
    <w:rsid w:val="00A05A2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FD3305"/>
    <w:rPr>
      <w:sz w:val="24"/>
    </w:rPr>
  </w:style>
  <w:style w:type="character" w:customStyle="1" w:styleId="ab">
    <w:name w:val="日付 (文字)"/>
    <w:basedOn w:val="a0"/>
    <w:link w:val="aa"/>
    <w:uiPriority w:val="99"/>
    <w:semiHidden/>
    <w:rPr>
      <w:szCs w:val="24"/>
    </w:rPr>
  </w:style>
  <w:style w:type="paragraph" w:styleId="ac">
    <w:name w:val="header"/>
    <w:basedOn w:val="a"/>
    <w:link w:val="ad"/>
    <w:uiPriority w:val="99"/>
    <w:unhideWhenUsed/>
    <w:rsid w:val="00110B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10B18"/>
    <w:rPr>
      <w:szCs w:val="24"/>
    </w:rPr>
  </w:style>
  <w:style w:type="paragraph" w:styleId="ae">
    <w:name w:val="footer"/>
    <w:basedOn w:val="a"/>
    <w:link w:val="af"/>
    <w:uiPriority w:val="99"/>
    <w:unhideWhenUsed/>
    <w:rsid w:val="00110B1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10B18"/>
    <w:rPr>
      <w:szCs w:val="24"/>
    </w:rPr>
  </w:style>
  <w:style w:type="paragraph" w:styleId="af0">
    <w:name w:val="List Paragraph"/>
    <w:basedOn w:val="a"/>
    <w:uiPriority w:val="34"/>
    <w:qFormat/>
    <w:rsid w:val="0003209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C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3E10"/>
    <w:rPr>
      <w:rFonts w:cs="Times New Roman"/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rsid w:val="00B2467C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Pr>
      <w:szCs w:val="24"/>
    </w:rPr>
  </w:style>
  <w:style w:type="paragraph" w:styleId="a6">
    <w:name w:val="Closing"/>
    <w:basedOn w:val="a"/>
    <w:link w:val="a7"/>
    <w:uiPriority w:val="99"/>
    <w:rsid w:val="00B2467C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Pr>
      <w:szCs w:val="24"/>
    </w:rPr>
  </w:style>
  <w:style w:type="paragraph" w:styleId="a8">
    <w:name w:val="Balloon Text"/>
    <w:basedOn w:val="a"/>
    <w:link w:val="a9"/>
    <w:uiPriority w:val="99"/>
    <w:semiHidden/>
    <w:rsid w:val="00A05A2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FD3305"/>
    <w:rPr>
      <w:sz w:val="24"/>
    </w:rPr>
  </w:style>
  <w:style w:type="character" w:customStyle="1" w:styleId="ab">
    <w:name w:val="日付 (文字)"/>
    <w:basedOn w:val="a0"/>
    <w:link w:val="aa"/>
    <w:uiPriority w:val="99"/>
    <w:semiHidden/>
    <w:rPr>
      <w:szCs w:val="24"/>
    </w:rPr>
  </w:style>
  <w:style w:type="paragraph" w:styleId="ac">
    <w:name w:val="header"/>
    <w:basedOn w:val="a"/>
    <w:link w:val="ad"/>
    <w:uiPriority w:val="99"/>
    <w:unhideWhenUsed/>
    <w:rsid w:val="00110B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10B18"/>
    <w:rPr>
      <w:szCs w:val="24"/>
    </w:rPr>
  </w:style>
  <w:style w:type="paragraph" w:styleId="ae">
    <w:name w:val="footer"/>
    <w:basedOn w:val="a"/>
    <w:link w:val="af"/>
    <w:uiPriority w:val="99"/>
    <w:unhideWhenUsed/>
    <w:rsid w:val="00110B1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10B18"/>
    <w:rPr>
      <w:szCs w:val="24"/>
    </w:rPr>
  </w:style>
  <w:style w:type="paragraph" w:styleId="af0">
    <w:name w:val="List Paragraph"/>
    <w:basedOn w:val="a"/>
    <w:uiPriority w:val="34"/>
    <w:qFormat/>
    <w:rsid w:val="000320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4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40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7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79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7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79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0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1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1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3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53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5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6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99C40-A583-44A2-B0C0-1801507D6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70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別記様式第１号（第４条関係）</vt:lpstr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別記様式第１号（第４条関係）</dc:title>
  <dc:creator>mi</dc:creator>
  <cp:lastModifiedBy>佐藤 幸喜</cp:lastModifiedBy>
  <cp:revision>13</cp:revision>
  <cp:lastPrinted>2011-03-02T07:49:00Z</cp:lastPrinted>
  <dcterms:created xsi:type="dcterms:W3CDTF">2020-07-27T23:56:00Z</dcterms:created>
  <dcterms:modified xsi:type="dcterms:W3CDTF">2022-02-07T02:46:00Z</dcterms:modified>
</cp:coreProperties>
</file>